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Manganaroa velutina</w:t>
      </w:r>
      <w:proofErr w:type="spellStart"/>
      <w:r w:rsidRPr="007C1DDC">
        <w:rPr>
          <w:b/>
        </w:rPr>
        <w:t xml:space="preserve"> var.</w:t>
      </w:r>
      <w:proofErr w:type="spellEnd"/>
      <w:proofErr w:type="spellStart"/>
      <w:r w:rsidRPr="007C1DDC">
        <w:rPr>
          <w:b/>
          <w:i/>
        </w:rPr>
        <w:t xml:space="preserve"> glabrescens</w:t>
      </w:r>
      <w:proofErr w:type="spellEnd"/>
      <w:r>
        <w:t xml:space="preserve"> Speg.</w:t>
      </w:r>
      <w:r w:rsidR="00780DEE" w:rsidRPr="00780DEE">
        <w:rPr>
          <w:i/>
        </w:rPr>
        <w:t xml:space="preserve"> Bol. Acad. Nac. Ci. Republ. Argent.</w:t>
      </w:r>
      <w:proofErr w:type="spellStart"/>
      <w:r w:rsidR="00780DEE">
        <w:t xml:space="preserve"> 26:272</w:t>
      </w:r>
      <w:proofErr w:type="spellEnd"/>
      <w:r w:rsidR="00780DEE">
        <w:t xml:space="preserve"> (1922)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Seigler et al. (2006: 77)</w:t>
      </w:r>
    </w:p>
    <w:p w:rsidR="00815E7D" w:rsidRPr="009A6983" w:rsidRDefault="00815E7D" w:rsidP="00151EE2">
      <w:r w:rsidRPr="00815E7D">
        <w:rPr>
          <w:b/>
        </w:rPr>
        <w:t>Accepted Name:</w:t>
      </w:r>
      <w:proofErr w:type="spellStart"/>
      <w:r w:rsidRPr="00815E7D">
        <w:rPr>
          <w:i/>
        </w:rPr>
        <w:t xml:space="preserve"> Senegalia velutina</w:t>
      </w:r>
      <w:proofErr w:type="spellEnd"/>
      <w:proofErr w:type="spellStart"/>
      <w:r>
        <w:t xml:space="preserve"> </w:t>
      </w:r>
      <w:proofErr w:type="spellEnd"/>
      <w:proofErr w:type="spellStart"/>
      <w:r w:rsidRPr="00815E7D">
        <w:rPr>
          <w:i/>
        </w:rPr>
        <w:t xml:space="preserve"> </w:t>
      </w:r>
      <w:proofErr w:type="spellEnd"/>
      <w:r>
        <w:t xml:space="preserve"> (DC.) Seigler &amp; Ebinger</w:t>
      </w:r>
    </w:p>
    <w:p w:rsidR="009A6983" w:rsidRPr="009A6983" w:rsidRDefault="009A6983" w:rsidP="009A6983">
      <w:r>
        <w:rPr>
          <w:b/>
        </w:rPr>
        <w:t>Type Designation:</w:t>
      </w:r>
      <w:proofErr w:type="spellStart"/>
      <w:r>
        <w:t xml:space="preserve"> Lectotype (designated by (Burkart 1979): Argentina. Misiones. Campo de las Cuyas, Feb. 1907, K. Fiebrig 6229 (LPS 10410) (LP)</w:t>
      </w:r>
      <w:proofErr w:type="spellEnd"/>
      <w:r w:rsidRPr="009A6983">
        <w:rPr>
          <w:b/>
        </w:rPr>
        <w:t xml:space="preserve"> Source:</w:t>
      </w:r>
      <w:r>
        <w:t xml:space="preserve"> Seigler et al. (2006: 77)</w:t>
      </w:r>
    </w:p>
    <w:p w:rsidR="003A515D" w:rsidRPr="009A6983" w:rsidRDefault="003A515D" w:rsidP="009A6983">
      <w:r w:rsidRPr="003A515D">
        <w:rPr>
          <w:b/>
        </w:rPr>
        <w:t>Notes:</w:t>
      </w:r>
      <w:r>
        <w:t xml:space="preserve"> As noted by Seigler et al. (2006: 77-78): "There are two sheets in the folder, both with the same numbers. One of them was designated as the lectotype by Burkart (1979). See Gutiérrez et al. (2002) for more information on the types.".</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