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tucumanensis</w:t>
      </w:r>
      <w:proofErr w:type="spellEnd"/>
      <w:r>
        <w:t xml:space="preserve"> (Griseb.) Griseb.</w:t>
      </w:r>
      <w:r w:rsidR="00780DEE" w:rsidRPr="00780DEE">
        <w:rPr>
          <w:i/>
        </w:rPr>
        <w:t xml:space="preserve"> Symb. Fl. Argent.</w:t>
      </w:r>
      <w:proofErr w:type="spellStart"/>
      <w:r w:rsidR="00780DEE">
        <w:t xml:space="preserve"> :121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tucumanensis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