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martinicensis</w:t>
      </w:r>
      <w:r>
        <w:t xml:space="preserve"> C.Presl.</w:t>
      </w:r>
      <w:r w:rsidR="00780DEE" w:rsidRPr="00780DEE">
        <w:rPr>
          <w:i/>
        </w:rPr>
        <w:t xml:space="preserve"> Abh. Königl. Böhm. Ges. Wiss.</w:t>
      </w:r>
      <w:proofErr w:type="spellStart"/>
      <w:r w:rsidR="00780DEE">
        <w:t xml:space="preserve"> 5.3:495</w:t>
      </w:r>
      <w:proofErr w:type="spellEnd"/>
      <w:r w:rsidR="00780DEE">
        <w:t xml:space="preserve"> (1845)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r>
        <w:t xml:space="preserve"> (L.)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Martinique. Kohaut s.n. (n.v.)</w:t>
      </w:r>
      <w:proofErr w:type="spellEnd"/>
      <w:r w:rsidRPr="009A6983">
        <w:rPr>
          <w:b/>
        </w:rPr>
        <w:t xml:space="preserve"> Source:</w:t>
      </w:r>
      <w:r>
        <w:t xml:space="preserve"> Seigler et al. (2006: 74)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