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langlassei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langlassei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