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nigricans</w:t>
      </w:r>
      <w:r>
        <w:t xml:space="preserve"> Vahl</w:t>
      </w:r>
      <w:r w:rsidR="00780DEE" w:rsidRPr="00780DEE">
        <w:rPr>
          <w:i/>
        </w:rPr>
        <w:t xml:space="preserve"> Eclog. Amer.</w:t>
      </w:r>
      <w:proofErr w:type="spellStart"/>
      <w:r w:rsidR="00780DEE">
        <w:t xml:space="preserve"> 3:37.(t. 29)</w:t>
      </w:r>
      <w:proofErr w:type="spellEnd"/>
      <w:r w:rsidR="00780DEE">
        <w:t xml:space="preserve"> (1807)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‘‘Habitat in America meridionali,’’ s.d., J.P.B. von Rohr s.n. (C [barcode C10011408], F - photo of C sheet)</w:t>
      </w:r>
      <w:proofErr w:type="spellEnd"/>
      <w:r w:rsidRPr="009A6983">
        <w:rPr>
          <w:b/>
        </w:rPr>
        <w:t xml:space="preserve"> Source:</w:t>
      </w:r>
      <w:r>
        <w:t xml:space="preserve"> Seigler et al. (2017: 185)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Labill. (1807).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