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monacantha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schulziana</w:t>
      </w:r>
      <w:proofErr w:type="spellEnd"/>
      <w:r>
        <w:t xml:space="preserve"> Burkart</w:t>
      </w:r>
      <w:r w:rsidR="00780DEE" w:rsidRPr="00780DEE">
        <w:rPr>
          <w:i/>
        </w:rPr>
        <w:t xml:space="preserve"> Legum. Argent., ed. 2</w:t>
      </w:r>
      <w:proofErr w:type="spellStart"/>
      <w:r w:rsidR="00780DEE">
        <w:t xml:space="preserve"> :542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monacantha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(Willd.)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Argentina. Chaco. Colonia Benítez, A.G. Schulz 2012 (SI)</w:t>
      </w:r>
      <w:proofErr w:type="spellEnd"/>
      <w:r w:rsidRPr="009A6983">
        <w:rPr>
          <w:b/>
        </w:rPr>
        <w:t xml:space="preserve"> Source:</w:t>
      </w:r>
      <w:r>
        <w:t xml:space="preserve"> Seigler et al. (2006: 59-60)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See Cialdella (1984, 1997) for additional information on the type (fide Seigler et al. 2006: 60).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