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paniculata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incana</w:t>
      </w:r>
      <w:proofErr w:type="spellEnd"/>
      <w:r>
        <w:t xml:space="preserve"> Chodat &amp; Hassl.</w:t>
      </w:r>
      <w:r w:rsidR="00780DEE" w:rsidRPr="00780DEE">
        <w:rPr>
          <w:i/>
        </w:rPr>
        <w:t xml:space="preserve"> Bull. Herb. Boissier</w:t>
      </w:r>
      <w:proofErr w:type="spellStart"/>
      <w:r w:rsidR="00780DEE">
        <w:t xml:space="preserve"> 4 (series 2):486</w:t>
      </w:r>
      <w:proofErr w:type="spellEnd"/>
      <w:r w:rsidR="00780DEE">
        <w:t xml:space="preserve"> (1904)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et al. (2006: 57)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martii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(Benth.)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Paraguay. Concepcion. in dumetis glareosis prope Concepción, Sep. 1901-1902, E. Hassler 7369 (G); isotypes: F, MO, NY</w:t>
      </w:r>
      <w:proofErr w:type="spellEnd"/>
      <w:r w:rsidRPr="009A6983">
        <w:rPr>
          <w:b/>
        </w:rPr>
        <w:t xml:space="preserve"> Source:</w:t>
      </w:r>
      <w:r>
        <w:t xml:space="preserve"> Seigler et al. (2006: 57)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