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riparia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angustifoliola</w:t>
      </w:r>
      <w:proofErr w:type="spellEnd"/>
      <w:r>
        <w:t xml:space="preserve"> Kuntze</w:t>
      </w:r>
      <w:r w:rsidR="00780DEE" w:rsidRPr="00780DEE">
        <w:rPr>
          <w:i/>
        </w:rPr>
        <w:t xml:space="preserve"> Revis. Gen. Pl.</w:t>
      </w:r>
      <w:proofErr w:type="spellStart"/>
      <w:r w:rsidR="00780DEE">
        <w:t xml:space="preserve"> 3:47</w:t>
      </w:r>
      <w:proofErr w:type="spellEnd"/>
      <w:r w:rsidR="00780DEE">
        <w:t xml:space="preserve"> (1898)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(Lorentz ex Griseb.)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&amp; Ebinger 2017: 194): Bolivia. Santa Cruz. Sierra de Santa Cruz, 2000 m, C.E..O. Kuntze s.n. (NY [barcode NY00001542]); isotype: F</w:t>
      </w:r>
      <w:proofErr w:type="spellEnd"/>
      <w:r w:rsidRPr="009A6983">
        <w:rPr>
          <w:b/>
        </w:rPr>
        <w:t xml:space="preserve"> Source:</w:t>
      </w:r>
      <w:r>
        <w:t xml:space="preserve"> Seigler et al. (2017: 194)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was treated by Seigler et al. (2006: 68) as a synonym of Senegalia riparia where the Kuntze specimen was treated as holotype.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