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Manganaroa altiscandens</w:t>
      </w:r>
      <w:r>
        <w:t xml:space="preserve"> (Ducke) Speg.</w:t>
      </w:r>
      <w:r w:rsidR="00780DEE" w:rsidRPr="00780DEE">
        <w:rPr>
          <w:i/>
        </w:rPr>
        <w:t xml:space="preserve"> Physis (Buenos Aires)</w:t>
      </w:r>
      <w:proofErr w:type="spellStart"/>
      <w:r w:rsidR="00780DEE">
        <w:t xml:space="preserve"> 6:312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altiscandens</w:t>
      </w:r>
      <w:proofErr w:type="spellEnd"/>
      <w:r>
        <w:t xml:space="preserve"> (Ducke)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altiscandens</w:t>
      </w:r>
      <w:r>
        <w:t xml:space="preserve"> Ducke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