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canescens</w:t>
      </w:r>
      <w:r>
        <w:t xml:space="preserve"> (Britton) Garcia-Barr. &amp; Forero</w:t>
      </w:r>
      <w:r w:rsidR="00780DEE" w:rsidRPr="00780DEE">
        <w:rPr>
          <w:i/>
        </w:rPr>
        <w:t xml:space="preserve"> Cat. Ilustr. Pl. Cundinamarca</w:t>
      </w:r>
      <w:proofErr w:type="spellStart"/>
      <w:r w:rsidR="00780DEE">
        <w:t xml:space="preserve"> 3:19</w:t>
      </w:r>
      <w:proofErr w:type="spellEnd"/>
      <w:r w:rsidR="00780DEE">
        <w:t xml:space="preserve"> (1968)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Seigler &amp;amp; Ebinger (2005: 163)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macracantha</w:t>
      </w:r>
      <w:proofErr w:type="spellEnd"/>
      <w:r>
        <w:t xml:space="preserve"> (Humb. &amp; Bonpl. ex Willd.) Seigler &amp; Ebinger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Martens &amp; Galeotti (1843).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Poponax canescens</w:t>
      </w:r>
      <w:r>
        <w:t xml:space="preserve"> Britton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