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ferox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10:314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se trouve abondamment dans les plaines d'Oaxaca, de Tlacolula et d'Etla, de 5,000 pieds, Fl. jaunes, H. Galeotti 3223 (BR); isotype: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