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adenopa</w:t>
      </w:r>
      <w:r>
        <w:t xml:space="preserve">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3:206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Islands of the Uruguay, J. Tweedie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