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Prosopis astringens</w:t>
      </w:r>
      <w:r>
        <w:t xml:space="preserve"> Gillies</w:t>
      </w:r>
      <w:r w:rsidR="00780DEE" w:rsidRPr="00780DEE">
        <w:rPr>
          <w:i/>
        </w:rPr>
        <w:t xml:space="preserve"> Bot. Misc.</w:t>
      </w:r>
      <w:proofErr w:type="spellStart"/>
      <w:r w:rsidR="00780DEE">
        <w:t xml:space="preserve"> 3:204</w:t>
      </w:r>
      <w:proofErr w:type="spellEnd"/>
      <w:r w:rsidR="00780DEE">
        <w:t xml:space="preserve"> (1833)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144)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astringens</w:t>
      </w:r>
      <w:proofErr w:type="spellEnd"/>
      <w:r>
        <w:t xml:space="preserve"> (Gillies) Speg.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Argentina. Mendosa and San Juan, J. Gillies s.n. (GL); isotype: K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144)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Acacia atramentaria Benth. is a replacement name for this species because the epithet astringens is occupied in Acacia by Acacia astringens Mart. (1828).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