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lutea</w:t>
      </w:r>
      <w:proofErr w:type="spellStart"/>
      <w:r w:rsidRPr="007C1DDC">
        <w:rPr>
          <w:b/>
        </w:rPr>
        <w:t xml:space="preserve"> forma</w:t>
      </w:r>
      <w:proofErr w:type="spellEnd"/>
      <w:proofErr w:type="spellStart"/>
      <w:r w:rsidRPr="007C1DDC">
        <w:rPr>
          <w:b/>
          <w:i/>
        </w:rPr>
        <w:t xml:space="preserve"> pachycarpa</w:t>
      </w:r>
      <w:proofErr w:type="spellEnd"/>
      <w:r>
        <w:t xml:space="preserve"> Speg.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26:307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144)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aroma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(Gillies ex Hook. &amp; Arn.)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Vachellia lutea var. aroma (Gillies ex Hook. &amp; Arn.) Speg. f. pachycarpa Speg.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