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aroma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cochlearis</w:t>
      </w:r>
      <w:proofErr w:type="spellEnd"/>
      <w:r>
        <w:t xml:space="preserve"> Griseb.</w:t>
      </w:r>
      <w:r w:rsidR="00780DEE" w:rsidRPr="00780DEE">
        <w:rPr>
          <w:i/>
        </w:rPr>
        <w:t xml:space="preserve"> Abh. Königl. Ges. Wiss. Göttingen</w:t>
      </w:r>
      <w:proofErr w:type="spellStart"/>
      <w:r w:rsidR="00780DEE">
        <w:t xml:space="preserve"> 24:122</w:t>
      </w:r>
      <w:proofErr w:type="spellEnd"/>
      <w:r w:rsidR="00780DEE">
        <w:t xml:space="preserve"> (1879)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&amp;amp; Ebinger (2005: 143)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aroma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(Gillies ex Hook. &amp; Arn.)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Argentina. Cordoba. north of San Javier, 18 Mar. 1876, T.G. Hieronymus 558 (GOET)</w:t>
      </w:r>
      <w:proofErr w:type="spellEnd"/>
      <w:r w:rsidRPr="009A6983">
        <w:rPr>
          <w:b/>
        </w:rPr>
        <w:t xml:space="preserve"> Source:</w:t>
      </w:r>
      <w:r>
        <w:t xml:space="preserve"> Seigler &amp; Ebinger (2005: 143)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