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goetzei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28:395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Kilosa Distr., Kidodi, Goetze 387 (K); isotype: E</w:t>
      </w:r>
      <w:proofErr w:type="spellEnd"/>
      <w:r w:rsidRPr="009A6983">
        <w:rPr>
          <w:b/>
        </w:rPr>
        <w:t xml:space="preserve"> Source:</w:t>
      </w:r>
      <w:r>
        <w:t xml:space="preserve"> Ross (1979: 80); Weirsema (2015: 370)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goetzei Harms has been conserved over Acacia andongensis Welw. ex Hiern. (fide Wiersema 2015, App. IV: 370).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