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lutea</w:t>
      </w:r>
      <w:proofErr w:type="spellStart"/>
      <w:r w:rsidRPr="007C1DDC">
        <w:rPr>
          <w:b/>
        </w:rPr>
        <w:t xml:space="preserve"> forma</w:t>
      </w:r>
      <w:proofErr w:type="spellEnd"/>
      <w:proofErr w:type="spellStart"/>
      <w:r w:rsidRPr="007C1DDC">
        <w:rPr>
          <w:b/>
          <w:i/>
        </w:rPr>
        <w:t xml:space="preserve"> moniliformis</w:t>
      </w:r>
      <w:proofErr w:type="spellEnd"/>
      <w:r>
        <w:t xml:space="preserve"> 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26:313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 Vachellia lutea var. moniliformis (Griseb.) Speg. f. moniliformis.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moniliformis</w:t>
      </w:r>
      <w:r>
        <w:t xml:space="preserve"> Griseb.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