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lutea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moniliformis</w:t>
      </w:r>
      <w:proofErr w:type="spellEnd"/>
      <w:r>
        <w:t xml:space="preserve"> (Griseb.) Kuntze</w:t>
      </w:r>
      <w:r w:rsidR="00780DEE" w:rsidRPr="00780DEE">
        <w:rPr>
          <w:i/>
        </w:rPr>
        <w:t xml:space="preserve"> Rev. Gen. Pl.</w:t>
      </w:r>
      <w:proofErr w:type="spellStart"/>
      <w:r w:rsidR="00780DEE">
        <w:t xml:space="preserve"> 3(2):47</w:t>
      </w:r>
      <w:proofErr w:type="spellEnd"/>
      <w:r w:rsidR="00780DEE">
        <w:t xml:space="preserve"> (1898)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143).
Seigler &amp;amp; Ebinger (2005: 147).
K)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aroma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(Gillies ex Hook. &amp; Arn.)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'monoliformis'.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moniliformis</w:t>
      </w:r>
      <w:r>
        <w:t xml:space="preserve"> Griseb.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