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Fishlockia anegadensis</w:t>
      </w:r>
      <w:r>
        <w:t xml:space="preserve"> (Britton)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Clarke et al. (2009: 88-89)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anegadensis</w:t>
      </w:r>
      <w:proofErr w:type="spellEnd"/>
      <w:r>
        <w:t xml:space="preserve"> (Britton)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anegadensis</w:t>
      </w:r>
      <w:r>
        <w:t xml:space="preserve"> Britton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