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erubescens</w:t>
      </w:r>
      <w:r>
        <w:t xml:space="preserve"> Welw. ex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2:343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Angola, Mocamedes Distr., between Bumbo and Bruco, Welwitsch 1826 (LISU); isotypes: BM, K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