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adoxum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adoxum</w:t>
      </w:r>
      <w:proofErr w:type="spellEnd"/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adoxa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adoxa</w:t>
      </w:r>
      <w:proofErr w:type="spellEnd"/>
      <w:r>
        <w:t xml:space="preserve"> Pedley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Racosperma adoxum var. subglabrum (Pedley) Pedley 2003.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adoxa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