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cowellii</w:t>
      </w:r>
      <w:r>
        <w:t xml:space="preserve"> (Britton &amp; Rose) Léon</w:t>
      </w:r>
      <w:r w:rsidR="00780DEE" w:rsidRPr="00780DEE">
        <w:rPr>
          <w:i/>
        </w:rPr>
        <w:t xml:space="preserve"> Contr. Ocas. Mus. Hist. Nat. Colegio "De La Salle"</w:t>
      </w:r>
      <w:proofErr w:type="spellStart"/>
      <w:r w:rsidR="00780DEE">
        <w:t xml:space="preserve"> 9:8</w:t>
      </w:r>
      <w:proofErr w:type="spellEnd"/>
      <w:r w:rsidR="00780DEE">
        <w:t xml:space="preserve"> (1950)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Seigler &amp;amp; Ebinger (2005: 162)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macracantha</w:t>
      </w:r>
      <w:proofErr w:type="spellEnd"/>
      <w:r>
        <w:t xml:space="preserve"> (Humb. &amp; Bonpl. ex Willd.) Seigler &amp; Ebinger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Poponax cowellii</w:t>
      </w:r>
      <w:r>
        <w:t xml:space="preserve"> Britton &amp; Rose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