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montana</w:t>
      </w:r>
      <w:r>
        <w:t xml:space="preserve"> P.P.Sw.</w:t>
      </w:r>
      <w:r w:rsidR="00780DEE" w:rsidRPr="00780DEE">
        <w:rPr>
          <w:i/>
        </w:rPr>
        <w:t xml:space="preserve"> in K.Coates-Palgrave, Trees of Southern Africa, new edn</w:t>
      </w:r>
      <w:proofErr w:type="spellStart"/>
      <w:r w:rsidR="00780DEE">
        <w:t xml:space="preserve"> :289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theronii</w:t>
      </w:r>
      <w:proofErr w:type="spellEnd"/>
      <w:r>
        <w:t xml:space="preserve"> (P.P.Sw.)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KwaZulu-Natal, Hlabisa District, Swartz 178 (PRE); isotype: PRU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Benth. (1842).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