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moniliformis</w:t>
      </w:r>
      <w:r>
        <w:t xml:space="preserve"> Griseb.</w:t>
      </w:r>
      <w:r w:rsidR="00780DEE" w:rsidRPr="00780DEE">
        <w:rPr>
          <w:i/>
        </w:rPr>
        <w:t xml:space="preserve"> Pl. Lorentz.</w:t>
      </w:r>
      <w:proofErr w:type="spellStart"/>
      <w:r w:rsidR="00780DEE">
        <w:t xml:space="preserve"> :88</w:t>
      </w:r>
      <w:proofErr w:type="spellEnd"/>
      <w:r w:rsidR="00780DEE">
        <w:t xml:space="preserve"> (1874)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aroma</w:t>
      </w:r>
      <w:proofErr w:type="spellEnd"/>
      <w:r>
        <w:t xml:space="preserve"> (Gillies ex Hook. &amp; Arn.)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Argentina. Tucuman. La Cruz, 20-24 Apr. 1872, T.G. Lorentz 190 (GOET)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143)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According to TL2, Plantae Lorentzianae was preprinted or reprinted, with independent pagination, from Abh. Königl. Ges. Wiss. Göttingen 19: 49 (= repr. p. [1]) - 278 (= repr. p. 230). The name Acacia moniliformis Griseb. was treated as a synonym of A. auriculiformis by Chakrabarty &amp; Gandopadhyay (1996: 603); this error was subsequently repeated by ILDIS (The International Legume Database &amp; Information Service, Roskov et al. 2005).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