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undulifolia</w:t>
      </w:r>
      <w:r>
        <w:t xml:space="preserve"> sens. Pedley</w:t>
      </w:r>
      <w:r w:rsidR="00780DEE" w:rsidRPr="00780DEE">
        <w:rPr>
          <w:i/>
        </w:rPr>
        <w:t xml:space="preserve"> Contr. Queensland Herb.</w:t>
      </w:r>
      <w:proofErr w:type="spellStart"/>
      <w:r w:rsidR="00780DEE">
        <w:t xml:space="preserve"> 4:6</w:t>
      </w:r>
      <w:proofErr w:type="spellEnd"/>
      <w:r w:rsidR="00780DEE">
        <w:t xml:space="preserve"> (1969)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351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uncinata</w:t>
      </w:r>
      <w:proofErr w:type="spellEnd"/>
      <w:r>
        <w:t xml:space="preserve"> Lindl.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Non A. Cunn. ex G.Lodd. (1929): fide Conn &amp; Tame (1996: 845).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