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(Maconochie) Pedley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5:768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