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discolor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maritima</w:t>
      </w:r>
      <w:proofErr w:type="spellEnd"/>
      <w:r>
        <w:t xml:space="preserve"> (Benth.) Hook.f.</w:t>
      </w:r>
      <w:r w:rsidR="00780DEE" w:rsidRPr="00780DEE">
        <w:rPr>
          <w:i/>
        </w:rPr>
        <w:t xml:space="preserve"> Fl. Tasman.</w:t>
      </w:r>
      <w:proofErr w:type="spellStart"/>
      <w:r w:rsidR="00780DEE">
        <w:t xml:space="preserve"> 1:111</w:t>
      </w:r>
      <w:proofErr w:type="spellEnd"/>
      <w:r w:rsidR="00780DEE">
        <w:t xml:space="preserve"> (1856)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220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terminalis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(Salisb.) J.F.Macbr.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maritima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