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translucens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typica</w:t>
      </w:r>
      <w:proofErr w:type="spellEnd"/>
      <w:r>
        <w:t xml:space="preserve">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89:259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Fl. Australia 11B: 232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translucens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Hook.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(This is the Type variety).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