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stenocarpa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4:9, 185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brachystachya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Hochst. ex A.Rich. (1847). This name appears in the index to Fragmenta vol. 4 of Mueller, referring to A. aneura var. stenocarpa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