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striata</w:t>
      </w:r>
      <w:r>
        <w:t xml:space="preserve"> W.Hill</w:t>
      </w:r>
      <w:r w:rsidR="00780DEE" w:rsidRPr="00780DEE">
        <w:rPr>
          <w:i/>
        </w:rPr>
        <w:t xml:space="preserve"> Cat. Nat. Indust. Prod. Queensland</w:t>
      </w:r>
      <w:proofErr w:type="spellStart"/>
      <w:r w:rsidR="00780DEE">
        <w:t xml:space="preserve"> :46</w:t>
      </w:r>
      <w:proofErr w:type="spellEnd"/>
      <w:r w:rsidR="00780DEE">
        <w:t xml:space="preserve"> (1873)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L. Pedley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bakeri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'... known from McLean Scrub upon the Albert River' [Qld]; n.v</w:t>
      </w:r>
      <w:proofErr w:type="spellEnd"/>
      <w:r w:rsidRPr="009A6983">
        <w:rPr>
          <w:b/>
        </w:rPr>
        <w:t xml:space="preserve"> Source:</w:t>
      </w:r>
      <w:r>
        <w:t xml:space="preserve"> Fl. Australia 11B: 155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Humb. &amp; Bonpl. ex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