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angustifolia</w:t>
      </w:r>
      <w:r>
        <w:t xml:space="preserve"> Lodd.</w:t>
      </w:r>
      <w:r w:rsidR="00780DEE" w:rsidRPr="00780DEE">
        <w:rPr>
          <w:i/>
        </w:rPr>
        <w:t xml:space="preserve"> Bot. Cab.</w:t>
      </w:r>
      <w:proofErr w:type="spellStart"/>
      <w:r w:rsidR="00780DEE">
        <w:t xml:space="preserve"> 8:</w:t>
      </w:r>
      <w:proofErr w:type="spellEnd"/>
      <w:r w:rsidR="00780DEE">
        <w:t xml:space="preserve"> (1823)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11B: 378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floribunda</w:t>
      </w:r>
      <w:proofErr w:type="spellEnd"/>
      <w:r>
        <w:t xml:space="preserve"> (Vent.) Willd.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cultivated specimen, date and coll. unknown; n.v</w:t>
      </w:r>
      <w:proofErr w:type="spellEnd"/>
      <w:r w:rsidRPr="009A6983">
        <w:rPr>
          <w:b/>
        </w:rPr>
        <w:t xml:space="preserve"> Source:</w:t>
      </w:r>
      <w:r>
        <w:t xml:space="preserve"> Fl. Australia 11B: 378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( Lam.) Desf. (1815).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