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stricta</w:t>
      </w:r>
      <w:r>
        <w:t xml:space="preserve"> Andrews</w:t>
      </w:r>
      <w:r w:rsidR="00780DEE" w:rsidRPr="00780DEE">
        <w:rPr>
          <w:i/>
        </w:rPr>
        <w:t xml:space="preserve"> Bot. Repos.</w:t>
      </w:r>
      <w:proofErr w:type="spellStart"/>
      <w:r w:rsidR="00780DEE">
        <w:t xml:space="preserve"> 1:</w:t>
      </w:r>
      <w:proofErr w:type="spellEnd"/>
      <w:r w:rsidR="00780DEE">
        <w:t xml:space="preserve"> (1799)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the plate (drawn from a plant raised from seed collected by W. Paterson at Port Jackson [Sydney, N.S.W.] and sent to England in 1793)</w:t>
      </w:r>
      <w:proofErr w:type="spellEnd"/>
      <w:r w:rsidRPr="009A6983">
        <w:rPr>
          <w:b/>
        </w:rPr>
        <w:t xml:space="preserve"> Source:</w:t>
      </w:r>
      <w:r>
        <w:t xml:space="preserve"> Fl. Australia 11A: 604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