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schweinfurthii</w:t>
      </w:r>
      <w:r>
        <w:t xml:space="preserve"> Brenan &amp; Exell</w:t>
      </w:r>
      <w:r w:rsidR="00780DEE" w:rsidRPr="00780DEE">
        <w:rPr>
          <w:i/>
        </w:rPr>
        <w:t xml:space="preserve"> Bol. Soc. Brot.</w:t>
      </w:r>
      <w:proofErr w:type="spellStart"/>
      <w:r w:rsidR="00780DEE">
        <w:t xml:space="preserve"> 2(31):128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(2010: 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schweinfurthii</w:t>
      </w:r>
      <w:proofErr w:type="spellEnd"/>
      <w:r>
        <w:t xml:space="preserve"> (Brenan &amp; Exell)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Sudan, Gubbiki, Schweinfurth 548 2206 (BM); isotypes:K, P, Z</w:t>
      </w:r>
      <w:proofErr w:type="spellEnd"/>
      <w:r w:rsidRPr="009A6983">
        <w:rPr>
          <w:b/>
        </w:rPr>
        <w:t xml:space="preserve"> Source:</w:t>
      </w:r>
      <w:r>
        <w:t xml:space="preserve"> Ross (1979: 50)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