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decurrens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mollis</w:t>
      </w:r>
      <w:proofErr w:type="spellEnd"/>
      <w:r>
        <w:t xml:space="preserve"> Lindl.</w:t>
      </w:r>
      <w:r w:rsidR="00780DEE" w:rsidRPr="00780DEE">
        <w:rPr>
          <w:i/>
        </w:rPr>
        <w:t xml:space="preserve"> Bot. Reg.</w:t>
      </w:r>
      <w:proofErr w:type="spellStart"/>
      <w:r w:rsidR="00780DEE">
        <w:t xml:space="preserve"> 5:</w:t>
      </w:r>
      <w:proofErr w:type="spellEnd"/>
      <w:r w:rsidR="00780DEE">
        <w:t xml:space="preserve"> (1819)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243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dealbata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Link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"Native of Van Diemen's Land… The drawing was taken from a sample sent from Lord Bridgewater's collection in February last."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J.P.M.Brenan &amp; R.Melville, Kew Bull. 14: 37-41 (1960) placed A. decurrens (Wendl.) Willd. var. mollis Lindl. in synonymy with A. mearnsii.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