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undulata</w:t>
      </w:r>
      <w:r>
        <w:t xml:space="preserve"> Willd. ex H.L.Wendl.</w:t>
      </w:r>
      <w:r w:rsidR="00780DEE" w:rsidRPr="00780DEE">
        <w:rPr>
          <w:i/>
        </w:rPr>
        <w:t xml:space="preserve"> Comm. Acac. Aphyll.</w:t>
      </w:r>
      <w:proofErr w:type="spellStart"/>
      <w:r w:rsidR="00780DEE">
        <w:t xml:space="preserve"> :3, 11</w:t>
      </w:r>
      <w:proofErr w:type="spellEnd"/>
      <w:r w:rsidR="00780DEE">
        <w:t xml:space="preserve"> (Jan. 1820)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Fl. Australia 11A: 593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r>
        <w:t xml:space="preserve"> DC.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Syntype: cultivated at Berlin botanic garden, Germany, C.F. Otto (GOET)</w:t>
      </w:r>
      <w:proofErr w:type="spellEnd"/>
      <w:r w:rsidRPr="009A6983">
        <w:rPr>
          <w:b/>
        </w:rPr>
        <w:t xml:space="preserve"> Source:</w:t>
      </w:r>
      <w:r>
        <w:t xml:space="preserve"> Fl. Australia 11A: 593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Spin (1818).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