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tanumbirinensis</w:t>
      </w:r>
      <w:r>
        <w:t xml:space="preserve"> Maiden</w:t>
      </w:r>
      <w:r w:rsidR="00780DEE" w:rsidRPr="00780DEE">
        <w:rPr>
          <w:i/>
        </w:rPr>
        <w:t xml:space="preserve"> in A.J.Ewart &amp; O.B.Davies, Fl. N. Territory</w:t>
      </w:r>
      <w:proofErr w:type="spellStart"/>
      <w:r w:rsidR="00780DEE">
        <w:t xml:space="preserve"> :338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193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plectocarpa</w:t>
      </w:r>
      <w:proofErr w:type="spellEnd"/>
      <w:r>
        <w:t xml:space="preserve"> (Maiden) Pedley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sandstone country near Tanumbirini [Stn], N.T., 26 Mar. 1911, G.F. Hill 802 (NSW); isotypes: K, MEL, fragment &amp; photo at PERTH</w:t>
      </w:r>
      <w:proofErr w:type="spellEnd"/>
      <w:r w:rsidRPr="009A6983">
        <w:rPr>
          <w:b/>
        </w:rPr>
        <w:t xml:space="preserve"> Source:</w:t>
      </w:r>
      <w:r>
        <w:t xml:space="preserve"> Fl. Australia 11B: 192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'tanumbirinense'.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