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triptera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lyndonii</w:t>
      </w:r>
      <w:proofErr w:type="spellEnd"/>
      <w:r>
        <w:t xml:space="preserve"> R.T.Baker</w:t>
      </w:r>
      <w:r w:rsidR="00780DEE" w:rsidRPr="00780DEE">
        <w:rPr>
          <w:i/>
        </w:rPr>
        <w:t xml:space="preserve"> Proc. Linn. Soc. New South Wales</w:t>
      </w:r>
      <w:proofErr w:type="spellStart"/>
      <w:r w:rsidR="00780DEE">
        <w:t xml:space="preserve"> 22:696</w:t>
      </w:r>
      <w:proofErr w:type="spellEnd"/>
      <w:r w:rsidR="00780DEE">
        <w:t xml:space="preserve"> (1898)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388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triptera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A.B. Court, Fl. Australia 11B: 493, 2001): Round Mountain near Coonabarabran, N.S.W., S. Lyndon s.n. (Plate 25 in R. Baker in Proc. Linn. Soc. New South Wales ser. 2, 22: 696, t. 25 1898)</w:t>
      </w:r>
      <w:proofErr w:type="spellEnd"/>
      <w:r w:rsidRPr="009A6983">
        <w:rPr>
          <w:b/>
        </w:rPr>
        <w:t xml:space="preserve"> Source:</w:t>
      </w:r>
      <w:r>
        <w:t xml:space="preserve"> Fl. Australia 11B: 388 (2001)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