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longifolia</w:t>
      </w:r>
      <w:r>
        <w:t xml:space="preserve"> Andrews</w:t>
      </w:r>
      <w:r w:rsidR="00780DEE" w:rsidRPr="00780DEE">
        <w:rPr>
          <w:i/>
        </w:rPr>
        <w:t xml:space="preserve"> Bot. Repos.</w:t>
      </w:r>
      <w:proofErr w:type="spellStart"/>
      <w:r w:rsidR="00780DEE">
        <w:t xml:space="preserve"> 3:</w:t>
      </w:r>
      <w:proofErr w:type="spellEnd"/>
      <w:r w:rsidR="00780DEE">
        <w:t xml:space="preserve"> (1802)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375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longifolia</w:t>
      </w:r>
      <w:proofErr w:type="spellEnd"/>
      <w:r>
        <w:t xml:space="preserve"> (Andrews) Willd.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A.B. Court, Fl. Australia 11B: 491, 2001): illustration in Bot. Repos. 3: t. 207 (1806)</w:t>
      </w:r>
      <w:proofErr w:type="spellEnd"/>
      <w:r w:rsidRPr="009A6983">
        <w:rPr>
          <w:b/>
        </w:rPr>
        <w:t xml:space="preserve"> Source:</w:t>
      </w:r>
      <w:r>
        <w:t xml:space="preserve"> Fl. Australia 11B: 375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