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fraseri</w:t>
      </w:r>
      <w:r>
        <w:t xml:space="preserve"> Hook.</w:t>
      </w:r>
      <w:r w:rsidR="00780DEE" w:rsidRPr="00780DEE">
        <w:rPr>
          <w:i/>
        </w:rPr>
        <w:t xml:space="preserve"> Icon. Pl.</w:t>
      </w:r>
      <w:proofErr w:type="spellStart"/>
      <w:r w:rsidR="00780DEE">
        <w:t xml:space="preserve"> 2:</w:t>
      </w:r>
      <w:proofErr w:type="spellEnd"/>
      <w:r w:rsidR="00780DEE">
        <w:t xml:space="preserve"> (1837)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329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podalyriifolia</w:t>
      </w:r>
      <w:proofErr w:type="spellEnd"/>
      <w:r>
        <w:t xml:space="preserve"> A.Cunn. ex G.Don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Logan River, Qld, 1829, C. Fraser 28 (K)</w:t>
      </w:r>
      <w:proofErr w:type="spellEnd"/>
      <w:r w:rsidRPr="009A6983">
        <w:rPr>
          <w:b/>
        </w:rPr>
        <w:t xml:space="preserve"> Source:</w:t>
      </w:r>
      <w:r>
        <w:t xml:space="preserve"> Fl. Australia 11A: 329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