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hybrida</w:t>
      </w:r>
      <w:r>
        <w:t xml:space="preserve"> G.Lodd.</w:t>
      </w:r>
      <w:r w:rsidR="00780DEE" w:rsidRPr="00780DEE">
        <w:rPr>
          <w:i/>
        </w:rPr>
        <w:t xml:space="preserve"> Bot. Cab.</w:t>
      </w:r>
      <w:proofErr w:type="spellStart"/>
      <w:r w:rsidR="00780DEE">
        <w:t xml:space="preserve"> 14:</w:t>
      </w:r>
      <w:proofErr w:type="spellEnd"/>
      <w:r w:rsidR="00780DEE">
        <w:t xml:space="preserve"> (1828)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Fl. Australia 11A: 594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inval. (Plate not accompanied by analysis). This entity possibly represents a hybrid between Acacia dodonaeifolia and A. paradoxa (fide B.R. Maslin, Fl. Australia 11A: 594, 2001).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