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bracteata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in Temperate House, Kew, England, June 1879, Anonymous (NSW167309);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