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ewartiana</w:t>
      </w:r>
      <w:r>
        <w:t xml:space="preserve"> W.Fitzg. ex Jean White</w:t>
      </w:r>
      <w:r w:rsidR="00780DEE" w:rsidRPr="00780DEE">
        <w:rPr>
          <w:i/>
        </w:rPr>
        <w:t xml:space="preserve"> Proc. Roy. Soc. Victoria, n. ser.</w:t>
      </w:r>
      <w:proofErr w:type="spellStart"/>
      <w:r w:rsidR="00780DEE">
        <w:t xml:space="preserve"> 23:287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dielsii</w:t>
      </w:r>
      <w:proofErr w:type="spellEnd"/>
      <w:r>
        <w:t xml:space="preserve"> E.Pritz.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Cowcowing, W.A., Aug. 1904, M. Koch 998 (MEL n.v.). (2) Cowcowing, W.A., Sept. 1904, M. Koch 998 (MEL n.v.) [See B.R. Maslin &amp; R.S. Cowan, Nuytsia 9: 395 (1994), for discussion of types.]</w:t>
      </w:r>
      <w:proofErr w:type="spellEnd"/>
      <w:r w:rsidRPr="009A6983">
        <w:rPr>
          <w:b/>
        </w:rPr>
        <w:t xml:space="preserve"> Source:</w:t>
      </w:r>
      <w:r>
        <w:t xml:space="preserve"> Fl. Australia 11B: 77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