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Albizia sutherlandi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6:22</w:t>
      </w:r>
      <w:proofErr w:type="spellEnd"/>
      <w:r w:rsidR="00780DEE">
        <w:t xml:space="preserve"> (1867)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Kodela &amp;amp; Wilson (2006: 240)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sutherlandii</w:t>
      </w:r>
      <w:proofErr w:type="spellEnd"/>
      <w:r>
        <w:t xml:space="preserve"> (F.Muell.) Kodela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Queensland: Flinders River, J. Sutherland 114 (MEL)</w:t>
      </w:r>
      <w:proofErr w:type="spellEnd"/>
      <w:r w:rsidRPr="009A6983">
        <w:rPr>
          <w:b/>
        </w:rPr>
        <w:t xml:space="preserve"> Source:</w:t>
      </w:r>
      <w:r>
        <w:t xml:space="preserve"> Kodela &amp; Wilson (2006: 240)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