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brevispica</w:t>
      </w:r>
      <w:r>
        <w:t xml:space="preserve"> Harms</w:t>
      </w:r>
      <w:r w:rsidR="00780DEE" w:rsidRPr="00780DEE">
        <w:rPr>
          <w:i/>
        </w:rPr>
        <w:t xml:space="preserve"> Notizbl. Bot. Gart. Berlin-Dahlem</w:t>
      </w:r>
      <w:proofErr w:type="spellStart"/>
      <w:r w:rsidR="00780DEE">
        <w:t xml:space="preserve"> 8:370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brevispica</w:t>
      </w:r>
      <w:proofErr w:type="spellEnd"/>
      <w:r>
        <w:t xml:space="preserve"> (Harms)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Lushoto Distr., Kitivo, Holst 606 (B†; BM, drawing)</w:t>
      </w:r>
      <w:proofErr w:type="spellEnd"/>
      <w:r w:rsidRPr="009A6983">
        <w:rPr>
          <w:b/>
        </w:rPr>
        <w:t xml:space="preserve"> Source:</w:t>
      </w:r>
      <w:r>
        <w:t xml:space="preserve"> Ross (1979: 46)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