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farnesiana</w:t>
      </w:r>
      <w:r>
        <w:t xml:space="preserve"> L.</w:t>
      </w:r>
      <w:r w:rsidR="00780DEE" w:rsidRPr="00780DEE">
        <w:rPr>
          <w:i/>
        </w:rPr>
        <w:t xml:space="preserve"> Sp. Pl.</w:t>
      </w:r>
      <w:proofErr w:type="spellStart"/>
      <w:r w:rsidR="00780DEE">
        <w:t xml:space="preserve"> 1:521</w:t>
      </w:r>
      <w:proofErr w:type="spellEnd"/>
      <w:r w:rsidR="00780DEE">
        <w:t xml:space="preserve"> (1753)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Domingo."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1975) [icon]: Aldinus, Exactissima description 736 rariorum plantarum Romae, Horto Franesiano 3, 4. 1625. [As noted by Jarvis (2007: 675) the lectotype figure has been much reproduced and can be seen in Ross (1975: 472, fig. 1 and 1980: 102, fig. 9) and Jarvis (1993: 156).]</w:t>
      </w:r>
      <w:proofErr w:type="spellEnd"/>
      <w:r w:rsidRPr="009A6983">
        <w:rPr>
          <w:b/>
        </w:rPr>
        <w:t xml:space="preserve"> Source:</w:t>
      </w:r>
      <w:r>
        <w:t xml:space="preserve"> Ross (1975: 465, 471-472); Jarvis (2007: 675)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