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discolor</w:t>
      </w:r>
      <w:r>
        <w:t xml:space="preserve"> (Andrews) Willd.</w:t>
      </w:r>
      <w:r w:rsidR="00780DEE" w:rsidRPr="00780DEE">
        <w:rPr>
          <w:i/>
        </w:rPr>
        <w:t xml:space="preserve"> Sp. Pl., ed. 4 [Willdenow]</w:t>
      </w:r>
      <w:proofErr w:type="spellStart"/>
      <w:r w:rsidR="00780DEE">
        <w:t xml:space="preserve"> 4(2):1068</w:t>
      </w:r>
      <w:proofErr w:type="spellEnd"/>
      <w:r w:rsidR="00780DEE">
        <w:t xml:space="preserve"> (1806)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220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terminalis</w:t>
      </w:r>
      <w:proofErr w:type="spellEnd"/>
      <w:r>
        <w:t xml:space="preserve"> (Salisb.) J.F.Macbr.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discolor</w:t>
      </w:r>
      <w:r>
        <w:t xml:space="preserve"> Andrews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