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decurrens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 (beta)</w:t>
      </w:r>
      <w:proofErr w:type="spellEnd"/>
      <w:r>
        <w:t xml:space="preserve"> Maiden</w:t>
      </w:r>
      <w:r w:rsidR="00780DEE" w:rsidRPr="00780DEE">
        <w:rPr>
          <w:i/>
        </w:rPr>
        <w:t xml:space="preserve"> Agric. Gaz. New South Wales</w:t>
      </w:r>
      <w:proofErr w:type="spellStart"/>
      <w:r w:rsidR="00780DEE">
        <w:t xml:space="preserve"> 5:607</w:t>
      </w:r>
      <w:proofErr w:type="spellEnd"/>
      <w:r w:rsidR="00780DEE">
        <w:t xml:space="preserve"> (1895)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246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irrorata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velutinella</w:t>
      </w:r>
      <w:proofErr w:type="spellEnd"/>
      <w:r>
        <w:t xml:space="preserve"> Tindale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Syntype: Bostobrick [N.S.W.], Dec. 1893, J.H.Maiden (NSW)</w:t>
      </w:r>
      <w:proofErr w:type="spellEnd"/>
      <w:r w:rsidRPr="009A6983">
        <w:rPr>
          <w:b/>
        </w:rPr>
        <w:t xml:space="preserve"> Source:</w:t>
      </w:r>
      <w:r>
        <w:t xml:space="preserve"> Fl. Australia 11A: 246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