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decurrens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dealbata</w:t>
      </w:r>
      <w:proofErr w:type="spellEnd"/>
      <w:r>
        <w:t xml:space="preserve"> (Link) F.Muell. ex Maiden</w:t>
      </w:r>
      <w:r w:rsidR="00780DEE" w:rsidRPr="00780DEE">
        <w:rPr>
          <w:i/>
        </w:rPr>
        <w:t xml:space="preserve"> Wattles &amp; wattle-barks, ed. 3</w:t>
      </w:r>
      <w:proofErr w:type="spellStart"/>
      <w:r w:rsidR="00780DEE">
        <w:t xml:space="preserve"> :39</w:t>
      </w:r>
      <w:proofErr w:type="spellEnd"/>
      <w:r w:rsidR="00780DEE">
        <w:t xml:space="preserve"> (1906)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243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dealbata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Link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dealbata</w:t>
      </w:r>
      <w:r>
        <w:t xml:space="preserve"> Link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