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galioides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hirsutiuscula</w:t>
      </w:r>
      <w:proofErr w:type="spellEnd"/>
      <w:r>
        <w:t xml:space="preserve"> Domin</w:t>
      </w:r>
      <w:r w:rsidR="00780DEE" w:rsidRPr="00780DEE">
        <w:rPr>
          <w:i/>
        </w:rPr>
        <w:t xml:space="preserve"> Biblioth. Bot.</w:t>
      </w:r>
      <w:proofErr w:type="spellStart"/>
      <w:r w:rsidR="00780DEE">
        <w:t xml:space="preserve"> 89:252</w:t>
      </w:r>
      <w:proofErr w:type="spellEnd"/>
      <w:r w:rsidR="00780DEE">
        <w:t xml:space="preserve"> (1926)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Fl. Australia 11B: 399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asperulacea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Arnhem Land, [N.T.], F. Mueller; n.v</w:t>
      </w:r>
      <w:proofErr w:type="spellEnd"/>
      <w:r w:rsidRPr="009A6983">
        <w:rPr>
          <w:b/>
        </w:rPr>
        <w:t xml:space="preserve"> Source:</w:t>
      </w:r>
      <w:r>
        <w:t xml:space="preserve"> Fl. Australia 11B: 399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galioides var. asperulacea f. hirsutiuscula Domin.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