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xylocarpa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tenuissima</w:t>
      </w:r>
      <w:proofErr w:type="spellEnd"/>
      <w:r>
        <w:t xml:space="preserve"> (F.Muell.) Benth.</w:t>
      </w:r>
      <w:r w:rsidR="00780DEE" w:rsidRPr="00780DEE">
        <w:rPr>
          <w:i/>
        </w:rPr>
        <w:t xml:space="preserve"> Fl. Austral.</w:t>
      </w:r>
      <w:proofErr w:type="spellStart"/>
      <w:r w:rsidR="00780DEE">
        <w:t xml:space="preserve"> 2:401</w:t>
      </w:r>
      <w:proofErr w:type="spellEnd"/>
      <w:r w:rsidR="00780DEE">
        <w:t xml:space="preserve"> (1864)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Fl. Australia 11B: 298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tenuissima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tenuissima</w:t>
      </w:r>
      <w:r>
        <w:t xml:space="preserve"> F.Muell.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